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FE0" w:rsidRPr="00172983" w:rsidRDefault="00AD6FE0" w:rsidP="00AD6FE0">
      <w:pPr>
        <w:jc w:val="center"/>
        <w:rPr>
          <w:b/>
          <w:color w:val="1F497D" w:themeColor="text2"/>
          <w:sz w:val="24"/>
          <w:szCs w:val="24"/>
        </w:rPr>
      </w:pPr>
      <w:r w:rsidRPr="00172983">
        <w:rPr>
          <w:b/>
          <w:color w:val="1F497D" w:themeColor="text2"/>
          <w:sz w:val="24"/>
          <w:szCs w:val="24"/>
        </w:rPr>
        <w:t>Grupo temático: Redes, Comunidades y nuevos Ambientes de Aprendizaje</w:t>
      </w:r>
    </w:p>
    <w:p w:rsidR="00AD6FE0" w:rsidRPr="00172983" w:rsidRDefault="00172983" w:rsidP="00C209D8">
      <w:pPr>
        <w:spacing w:after="0" w:line="240" w:lineRule="auto"/>
        <w:rPr>
          <w:b/>
          <w:sz w:val="24"/>
          <w:szCs w:val="24"/>
        </w:rPr>
      </w:pPr>
      <w:r w:rsidRPr="00172983">
        <w:rPr>
          <w:b/>
          <w:sz w:val="24"/>
          <w:szCs w:val="24"/>
        </w:rPr>
        <w:t>IES v</w:t>
      </w:r>
      <w:r w:rsidR="00AD6FE0" w:rsidRPr="00172983">
        <w:rPr>
          <w:b/>
          <w:sz w:val="24"/>
          <w:szCs w:val="24"/>
        </w:rPr>
        <w:t>inculadas al grupo temático (Taller</w:t>
      </w:r>
      <w:r w:rsidRPr="00172983">
        <w:rPr>
          <w:b/>
          <w:sz w:val="24"/>
          <w:szCs w:val="24"/>
        </w:rPr>
        <w:t>es</w:t>
      </w:r>
      <w:r w:rsidR="00AD6FE0" w:rsidRPr="00172983">
        <w:rPr>
          <w:b/>
          <w:sz w:val="24"/>
          <w:szCs w:val="24"/>
        </w:rPr>
        <w:t xml:space="preserve"> </w:t>
      </w:r>
      <w:r w:rsidRPr="00172983">
        <w:rPr>
          <w:b/>
          <w:sz w:val="24"/>
          <w:szCs w:val="24"/>
        </w:rPr>
        <w:t>r</w:t>
      </w:r>
      <w:r w:rsidR="00AD6FE0" w:rsidRPr="00172983">
        <w:rPr>
          <w:b/>
          <w:sz w:val="24"/>
          <w:szCs w:val="24"/>
        </w:rPr>
        <w:t>egional</w:t>
      </w:r>
      <w:r w:rsidRPr="00172983">
        <w:rPr>
          <w:b/>
          <w:sz w:val="24"/>
          <w:szCs w:val="24"/>
        </w:rPr>
        <w:t>es</w:t>
      </w:r>
      <w:r w:rsidR="00AD6FE0" w:rsidRPr="00172983">
        <w:rPr>
          <w:b/>
          <w:sz w:val="24"/>
          <w:szCs w:val="24"/>
        </w:rPr>
        <w:t>)</w:t>
      </w:r>
    </w:p>
    <w:p w:rsidR="003A76AC" w:rsidRDefault="003A76AC" w:rsidP="00C209D8">
      <w:pPr>
        <w:spacing w:after="0" w:line="240" w:lineRule="auto"/>
        <w:jc w:val="both"/>
        <w:rPr>
          <w:sz w:val="24"/>
          <w:szCs w:val="24"/>
        </w:rPr>
      </w:pPr>
    </w:p>
    <w:p w:rsidR="00AD6FE0" w:rsidRPr="00172983" w:rsidRDefault="00AD6FE0" w:rsidP="00172983">
      <w:pPr>
        <w:pStyle w:val="Prrafodelista"/>
        <w:numPr>
          <w:ilvl w:val="0"/>
          <w:numId w:val="1"/>
        </w:numPr>
        <w:spacing w:after="0" w:line="240" w:lineRule="auto"/>
        <w:jc w:val="both"/>
        <w:rPr>
          <w:sz w:val="24"/>
          <w:szCs w:val="24"/>
        </w:rPr>
      </w:pPr>
      <w:r w:rsidRPr="00172983">
        <w:rPr>
          <w:sz w:val="24"/>
          <w:szCs w:val="24"/>
        </w:rPr>
        <w:t>Fundación para la Educación Superior San Mateo</w:t>
      </w:r>
    </w:p>
    <w:p w:rsidR="00C209D8" w:rsidRPr="00172983" w:rsidRDefault="00AD6FE0" w:rsidP="00172983">
      <w:pPr>
        <w:pStyle w:val="Prrafodelista"/>
        <w:numPr>
          <w:ilvl w:val="0"/>
          <w:numId w:val="1"/>
        </w:numPr>
        <w:spacing w:after="0" w:line="240" w:lineRule="auto"/>
        <w:jc w:val="both"/>
        <w:rPr>
          <w:sz w:val="24"/>
          <w:szCs w:val="24"/>
        </w:rPr>
      </w:pPr>
      <w:r w:rsidRPr="00172983">
        <w:rPr>
          <w:sz w:val="24"/>
          <w:szCs w:val="24"/>
        </w:rPr>
        <w:t>Universidad de Ibagué</w:t>
      </w:r>
    </w:p>
    <w:p w:rsidR="00C209D8" w:rsidRPr="00172983" w:rsidRDefault="00AD6FE0" w:rsidP="00172983">
      <w:pPr>
        <w:pStyle w:val="Prrafodelista"/>
        <w:numPr>
          <w:ilvl w:val="0"/>
          <w:numId w:val="1"/>
        </w:numPr>
        <w:spacing w:after="0" w:line="240" w:lineRule="auto"/>
        <w:jc w:val="both"/>
        <w:rPr>
          <w:sz w:val="24"/>
          <w:szCs w:val="24"/>
        </w:rPr>
      </w:pPr>
      <w:r w:rsidRPr="00172983">
        <w:rPr>
          <w:sz w:val="24"/>
          <w:szCs w:val="24"/>
        </w:rPr>
        <w:t>Corporación Universitaria del Caribe - CECAR</w:t>
      </w:r>
      <w:r w:rsidRPr="00172983">
        <w:rPr>
          <w:sz w:val="24"/>
          <w:szCs w:val="24"/>
        </w:rPr>
        <w:tab/>
      </w:r>
      <w:r w:rsidRPr="00172983">
        <w:rPr>
          <w:sz w:val="24"/>
          <w:szCs w:val="24"/>
        </w:rPr>
        <w:tab/>
      </w:r>
    </w:p>
    <w:p w:rsidR="00C209D8" w:rsidRPr="00172983" w:rsidRDefault="00AD6FE0" w:rsidP="00172983">
      <w:pPr>
        <w:pStyle w:val="Prrafodelista"/>
        <w:numPr>
          <w:ilvl w:val="0"/>
          <w:numId w:val="1"/>
        </w:numPr>
        <w:spacing w:after="0" w:line="240" w:lineRule="auto"/>
        <w:jc w:val="both"/>
        <w:rPr>
          <w:sz w:val="24"/>
          <w:szCs w:val="24"/>
        </w:rPr>
      </w:pPr>
      <w:r w:rsidRPr="00172983">
        <w:rPr>
          <w:sz w:val="24"/>
          <w:szCs w:val="24"/>
        </w:rPr>
        <w:t>Universidad Autónoma de Occidente</w:t>
      </w:r>
      <w:r w:rsidRPr="00172983">
        <w:rPr>
          <w:sz w:val="24"/>
          <w:szCs w:val="24"/>
        </w:rPr>
        <w:tab/>
      </w:r>
      <w:r w:rsidRPr="00172983">
        <w:rPr>
          <w:sz w:val="24"/>
          <w:szCs w:val="24"/>
        </w:rPr>
        <w:tab/>
      </w:r>
    </w:p>
    <w:p w:rsidR="00AD6FE0" w:rsidRPr="00172983" w:rsidRDefault="00AD6FE0" w:rsidP="00172983">
      <w:pPr>
        <w:pStyle w:val="Prrafodelista"/>
        <w:numPr>
          <w:ilvl w:val="0"/>
          <w:numId w:val="1"/>
        </w:numPr>
        <w:spacing w:after="0" w:line="240" w:lineRule="auto"/>
        <w:jc w:val="both"/>
        <w:rPr>
          <w:sz w:val="24"/>
          <w:szCs w:val="24"/>
        </w:rPr>
      </w:pPr>
      <w:r w:rsidRPr="00172983">
        <w:rPr>
          <w:sz w:val="24"/>
          <w:szCs w:val="24"/>
        </w:rPr>
        <w:t>Universidad de Manizales</w:t>
      </w:r>
    </w:p>
    <w:p w:rsidR="00C209D8" w:rsidRPr="00172983" w:rsidRDefault="00AD6FE0" w:rsidP="00172983">
      <w:pPr>
        <w:pStyle w:val="Prrafodelista"/>
        <w:numPr>
          <w:ilvl w:val="0"/>
          <w:numId w:val="1"/>
        </w:numPr>
        <w:spacing w:after="0" w:line="240" w:lineRule="auto"/>
        <w:jc w:val="both"/>
        <w:rPr>
          <w:sz w:val="24"/>
          <w:szCs w:val="24"/>
        </w:rPr>
      </w:pPr>
      <w:r w:rsidRPr="00172983">
        <w:rPr>
          <w:sz w:val="24"/>
          <w:szCs w:val="24"/>
        </w:rPr>
        <w:t>Universidad del Rosario</w:t>
      </w:r>
      <w:r w:rsidRPr="00172983">
        <w:rPr>
          <w:sz w:val="24"/>
          <w:szCs w:val="24"/>
        </w:rPr>
        <w:tab/>
      </w:r>
    </w:p>
    <w:p w:rsidR="00C209D8" w:rsidRPr="00172983" w:rsidRDefault="00AD6FE0" w:rsidP="00172983">
      <w:pPr>
        <w:pStyle w:val="Prrafodelista"/>
        <w:numPr>
          <w:ilvl w:val="0"/>
          <w:numId w:val="1"/>
        </w:numPr>
        <w:spacing w:after="0" w:line="240" w:lineRule="auto"/>
        <w:jc w:val="both"/>
        <w:rPr>
          <w:sz w:val="24"/>
          <w:szCs w:val="24"/>
        </w:rPr>
      </w:pPr>
      <w:r w:rsidRPr="00172983">
        <w:rPr>
          <w:sz w:val="24"/>
          <w:szCs w:val="24"/>
        </w:rPr>
        <w:t>Fundación Universitaria Monserrate</w:t>
      </w:r>
      <w:r w:rsidRPr="00172983">
        <w:rPr>
          <w:sz w:val="24"/>
          <w:szCs w:val="24"/>
        </w:rPr>
        <w:tab/>
      </w:r>
    </w:p>
    <w:p w:rsidR="00C209D8" w:rsidRPr="00172983" w:rsidRDefault="00AD6FE0" w:rsidP="00172983">
      <w:pPr>
        <w:pStyle w:val="Prrafodelista"/>
        <w:numPr>
          <w:ilvl w:val="0"/>
          <w:numId w:val="1"/>
        </w:numPr>
        <w:spacing w:after="0" w:line="240" w:lineRule="auto"/>
        <w:jc w:val="both"/>
        <w:rPr>
          <w:sz w:val="24"/>
          <w:szCs w:val="24"/>
        </w:rPr>
      </w:pPr>
      <w:r w:rsidRPr="00172983">
        <w:rPr>
          <w:sz w:val="24"/>
          <w:szCs w:val="24"/>
        </w:rPr>
        <w:t>Fundación Tecnológica</w:t>
      </w:r>
      <w:r w:rsidR="00C209D8" w:rsidRPr="00172983">
        <w:rPr>
          <w:sz w:val="24"/>
          <w:szCs w:val="24"/>
        </w:rPr>
        <w:t xml:space="preserve"> Antonio de Arévalo - TECNAR</w:t>
      </w:r>
      <w:r w:rsidR="00C209D8" w:rsidRPr="00172983">
        <w:rPr>
          <w:sz w:val="24"/>
          <w:szCs w:val="24"/>
        </w:rPr>
        <w:tab/>
      </w:r>
      <w:r w:rsidR="00C209D8" w:rsidRPr="00172983">
        <w:rPr>
          <w:sz w:val="24"/>
          <w:szCs w:val="24"/>
        </w:rPr>
        <w:tab/>
      </w:r>
    </w:p>
    <w:p w:rsidR="00AD6FE0" w:rsidRPr="00172983" w:rsidRDefault="00AD6FE0" w:rsidP="00172983">
      <w:pPr>
        <w:pStyle w:val="Prrafodelista"/>
        <w:numPr>
          <w:ilvl w:val="0"/>
          <w:numId w:val="1"/>
        </w:numPr>
        <w:spacing w:after="0" w:line="240" w:lineRule="auto"/>
        <w:jc w:val="both"/>
        <w:rPr>
          <w:sz w:val="24"/>
          <w:szCs w:val="24"/>
        </w:rPr>
      </w:pPr>
      <w:r w:rsidRPr="00172983">
        <w:rPr>
          <w:sz w:val="24"/>
          <w:szCs w:val="24"/>
        </w:rPr>
        <w:t>Universidad Católica de Manizales</w:t>
      </w:r>
    </w:p>
    <w:p w:rsidR="00C209D8" w:rsidRPr="00172983" w:rsidRDefault="00AD6FE0" w:rsidP="00172983">
      <w:pPr>
        <w:pStyle w:val="Prrafodelista"/>
        <w:numPr>
          <w:ilvl w:val="0"/>
          <w:numId w:val="1"/>
        </w:numPr>
        <w:spacing w:after="0" w:line="240" w:lineRule="auto"/>
        <w:jc w:val="both"/>
        <w:rPr>
          <w:sz w:val="24"/>
          <w:szCs w:val="24"/>
        </w:rPr>
      </w:pPr>
      <w:r w:rsidRPr="00172983">
        <w:rPr>
          <w:sz w:val="24"/>
          <w:szCs w:val="24"/>
        </w:rPr>
        <w:t xml:space="preserve">Politécnico </w:t>
      </w:r>
      <w:proofErr w:type="spellStart"/>
      <w:r w:rsidRPr="00172983">
        <w:rPr>
          <w:sz w:val="24"/>
          <w:szCs w:val="24"/>
        </w:rPr>
        <w:t>Grancolombiano</w:t>
      </w:r>
      <w:proofErr w:type="spellEnd"/>
      <w:r w:rsidRPr="00172983">
        <w:rPr>
          <w:sz w:val="24"/>
          <w:szCs w:val="24"/>
        </w:rPr>
        <w:tab/>
      </w:r>
      <w:r w:rsidRPr="00172983">
        <w:rPr>
          <w:sz w:val="24"/>
          <w:szCs w:val="24"/>
        </w:rPr>
        <w:tab/>
      </w:r>
      <w:r w:rsidRPr="00172983">
        <w:rPr>
          <w:sz w:val="24"/>
          <w:szCs w:val="24"/>
        </w:rPr>
        <w:tab/>
      </w:r>
      <w:r w:rsidRPr="00172983">
        <w:rPr>
          <w:sz w:val="24"/>
          <w:szCs w:val="24"/>
        </w:rPr>
        <w:tab/>
      </w:r>
      <w:r w:rsidRPr="00172983">
        <w:rPr>
          <w:sz w:val="24"/>
          <w:szCs w:val="24"/>
        </w:rPr>
        <w:tab/>
      </w:r>
      <w:r w:rsidRPr="00172983">
        <w:rPr>
          <w:sz w:val="24"/>
          <w:szCs w:val="24"/>
        </w:rPr>
        <w:tab/>
      </w:r>
    </w:p>
    <w:p w:rsidR="00AD6FE0" w:rsidRPr="00172983" w:rsidRDefault="00AD6FE0" w:rsidP="00172983">
      <w:pPr>
        <w:pStyle w:val="Prrafodelista"/>
        <w:numPr>
          <w:ilvl w:val="0"/>
          <w:numId w:val="1"/>
        </w:numPr>
        <w:spacing w:after="0" w:line="240" w:lineRule="auto"/>
        <w:jc w:val="both"/>
        <w:rPr>
          <w:sz w:val="24"/>
          <w:szCs w:val="24"/>
        </w:rPr>
      </w:pPr>
      <w:r w:rsidRPr="00172983">
        <w:rPr>
          <w:sz w:val="24"/>
          <w:szCs w:val="24"/>
        </w:rPr>
        <w:t>Corporación Universitaria Santa Rosa de Cabal - UNISARC</w:t>
      </w:r>
    </w:p>
    <w:p w:rsidR="00AD6FE0" w:rsidRPr="00172983" w:rsidRDefault="00AD6FE0" w:rsidP="00172983">
      <w:pPr>
        <w:pStyle w:val="Prrafodelista"/>
        <w:numPr>
          <w:ilvl w:val="0"/>
          <w:numId w:val="1"/>
        </w:numPr>
        <w:spacing w:after="0" w:line="240" w:lineRule="auto"/>
        <w:jc w:val="both"/>
        <w:rPr>
          <w:sz w:val="24"/>
          <w:szCs w:val="24"/>
        </w:rPr>
      </w:pPr>
      <w:r w:rsidRPr="00172983">
        <w:rPr>
          <w:sz w:val="24"/>
          <w:szCs w:val="24"/>
        </w:rPr>
        <w:t>Fundación Universitaria del Área Andina - Pereira</w:t>
      </w:r>
    </w:p>
    <w:p w:rsidR="00AD6FE0" w:rsidRPr="00172983" w:rsidRDefault="00AD6FE0" w:rsidP="00172983">
      <w:pPr>
        <w:pStyle w:val="Prrafodelista"/>
        <w:numPr>
          <w:ilvl w:val="0"/>
          <w:numId w:val="1"/>
        </w:numPr>
        <w:spacing w:after="0" w:line="240" w:lineRule="auto"/>
        <w:jc w:val="both"/>
        <w:rPr>
          <w:sz w:val="24"/>
          <w:szCs w:val="24"/>
        </w:rPr>
      </w:pPr>
      <w:r w:rsidRPr="00172983">
        <w:rPr>
          <w:sz w:val="24"/>
          <w:szCs w:val="24"/>
        </w:rPr>
        <w:t>Universidad Autónoma de Manizales</w:t>
      </w:r>
    </w:p>
    <w:p w:rsidR="00AD6FE0" w:rsidRDefault="00AD6FE0" w:rsidP="00172983">
      <w:pPr>
        <w:pStyle w:val="Prrafodelista"/>
        <w:numPr>
          <w:ilvl w:val="0"/>
          <w:numId w:val="1"/>
        </w:numPr>
        <w:spacing w:after="0" w:line="240" w:lineRule="auto"/>
        <w:jc w:val="both"/>
        <w:rPr>
          <w:sz w:val="24"/>
          <w:szCs w:val="24"/>
        </w:rPr>
      </w:pPr>
      <w:r w:rsidRPr="00172983">
        <w:rPr>
          <w:sz w:val="24"/>
          <w:szCs w:val="24"/>
        </w:rPr>
        <w:t>Universidad Tecnológica de Pereira</w:t>
      </w:r>
    </w:p>
    <w:p w:rsidR="00172983" w:rsidRDefault="00172983" w:rsidP="00172983">
      <w:pPr>
        <w:pStyle w:val="Prrafodelista"/>
        <w:spacing w:after="0" w:line="240" w:lineRule="auto"/>
        <w:jc w:val="both"/>
        <w:rPr>
          <w:sz w:val="24"/>
          <w:szCs w:val="24"/>
        </w:rPr>
      </w:pPr>
    </w:p>
    <w:p w:rsidR="00172983" w:rsidRPr="00172983" w:rsidRDefault="00172983" w:rsidP="00172983">
      <w:pPr>
        <w:pStyle w:val="Prrafodelista"/>
        <w:spacing w:after="0" w:line="240" w:lineRule="auto"/>
        <w:jc w:val="both"/>
        <w:rPr>
          <w:sz w:val="24"/>
          <w:szCs w:val="24"/>
        </w:rPr>
      </w:pPr>
    </w:p>
    <w:p w:rsidR="00C209D8" w:rsidRPr="00CA6CAD" w:rsidRDefault="00C209D8" w:rsidP="00C209D8">
      <w:pPr>
        <w:spacing w:after="0" w:line="240" w:lineRule="auto"/>
        <w:jc w:val="both"/>
        <w:rPr>
          <w:b/>
          <w:sz w:val="24"/>
          <w:szCs w:val="24"/>
        </w:rPr>
      </w:pPr>
      <w:r w:rsidRPr="00CA6CAD">
        <w:rPr>
          <w:b/>
          <w:sz w:val="24"/>
          <w:szCs w:val="24"/>
        </w:rPr>
        <w:t xml:space="preserve">Síntesis </w:t>
      </w:r>
      <w:r w:rsidR="00172983">
        <w:rPr>
          <w:b/>
          <w:sz w:val="24"/>
          <w:szCs w:val="24"/>
        </w:rPr>
        <w:t xml:space="preserve">de acciones propuestas por las </w:t>
      </w:r>
      <w:r w:rsidRPr="00CA6CAD">
        <w:rPr>
          <w:b/>
          <w:sz w:val="24"/>
          <w:szCs w:val="24"/>
        </w:rPr>
        <w:t>IES vinculadas - Taller Regional</w:t>
      </w:r>
    </w:p>
    <w:p w:rsidR="00172983" w:rsidRDefault="00172983" w:rsidP="00652B79">
      <w:pPr>
        <w:jc w:val="both"/>
        <w:rPr>
          <w:b/>
          <w:sz w:val="26"/>
          <w:szCs w:val="26"/>
        </w:rPr>
      </w:pPr>
    </w:p>
    <w:p w:rsidR="009630AE" w:rsidRPr="00D76696" w:rsidRDefault="00652B79" w:rsidP="00172983">
      <w:pPr>
        <w:ind w:left="284"/>
        <w:jc w:val="both"/>
        <w:rPr>
          <w:sz w:val="24"/>
          <w:szCs w:val="24"/>
        </w:rPr>
      </w:pPr>
      <w:r w:rsidRPr="00D76696">
        <w:rPr>
          <w:sz w:val="24"/>
          <w:szCs w:val="24"/>
        </w:rPr>
        <w:t xml:space="preserve">Al analizar las diferentes acciones que las IES exponen como forma de darle continuidad a la comunidad </w:t>
      </w:r>
      <w:proofErr w:type="spellStart"/>
      <w:r w:rsidRPr="00D76696">
        <w:rPr>
          <w:sz w:val="24"/>
          <w:szCs w:val="24"/>
        </w:rPr>
        <w:t>PlanEsTIC</w:t>
      </w:r>
      <w:proofErr w:type="spellEnd"/>
      <w:r w:rsidRPr="00D76696">
        <w:rPr>
          <w:sz w:val="24"/>
          <w:szCs w:val="24"/>
        </w:rPr>
        <w:t xml:space="preserve">, </w:t>
      </w:r>
      <w:r w:rsidR="002446E3" w:rsidRPr="00D76696">
        <w:rPr>
          <w:sz w:val="24"/>
          <w:szCs w:val="24"/>
        </w:rPr>
        <w:t>pese a que se encuentran propuestas particulares, todos los grupos de IES regionales concuerdan en dos aspectos fundamentales para lograr consolidar una comunidad de prá</w:t>
      </w:r>
      <w:r w:rsidR="00B70FCA" w:rsidRPr="00D76696">
        <w:rPr>
          <w:sz w:val="24"/>
          <w:szCs w:val="24"/>
        </w:rPr>
        <w:t>ctica y de aprendizaje en torno al tema de redes, comunidades y nuevos ambientes de aprendizaje</w:t>
      </w:r>
      <w:r w:rsidR="009630AE" w:rsidRPr="00D76696">
        <w:rPr>
          <w:sz w:val="24"/>
          <w:szCs w:val="24"/>
        </w:rPr>
        <w:t xml:space="preserve">. El primero de ellos tiene que ver con </w:t>
      </w:r>
      <w:r w:rsidR="009630AE" w:rsidRPr="00D76696">
        <w:rPr>
          <w:b/>
          <w:sz w:val="24"/>
          <w:szCs w:val="24"/>
        </w:rPr>
        <w:t>el establecimiento de acuerdos para crear temas de interés importantes para la comunidad de práctica y aprendizaje.</w:t>
      </w:r>
    </w:p>
    <w:p w:rsidR="00F34C84" w:rsidRPr="00D76696" w:rsidRDefault="00A35AF3" w:rsidP="00172983">
      <w:pPr>
        <w:ind w:left="284"/>
        <w:jc w:val="both"/>
        <w:rPr>
          <w:sz w:val="24"/>
          <w:szCs w:val="24"/>
        </w:rPr>
      </w:pPr>
      <w:r w:rsidRPr="00D76696">
        <w:rPr>
          <w:sz w:val="24"/>
          <w:szCs w:val="24"/>
        </w:rPr>
        <w:t xml:space="preserve">En este aspecto, las IES participantes de este tema coinciden en afirmar que es necesario lograr acordar no solamente un tema, sino diferentes que sean del interés de las </w:t>
      </w:r>
      <w:r w:rsidR="00F34C84" w:rsidRPr="00D76696">
        <w:rPr>
          <w:sz w:val="24"/>
          <w:szCs w:val="24"/>
        </w:rPr>
        <w:t xml:space="preserve">instituciones. Todos los temas deben ser de interés de las IES y, como lo proponen en la región centro, deben cada uno debe tener un encargado “doliente” que movilice las actividades periódicas de un tema. </w:t>
      </w:r>
    </w:p>
    <w:p w:rsidR="00F34C84" w:rsidRPr="00D76696" w:rsidRDefault="00F34C84" w:rsidP="00172983">
      <w:pPr>
        <w:ind w:left="284"/>
        <w:jc w:val="both"/>
        <w:rPr>
          <w:sz w:val="24"/>
          <w:szCs w:val="24"/>
        </w:rPr>
      </w:pPr>
      <w:r w:rsidRPr="00D76696">
        <w:rPr>
          <w:sz w:val="24"/>
          <w:szCs w:val="24"/>
        </w:rPr>
        <w:t xml:space="preserve">Para que esta dinámica no sea una carga alta para la IES, se propone que los temas partan de las experticias más grandes de las IES, lo que reducirá tiempos de preparación y beneficiará a las demás IES ya que se compartirán </w:t>
      </w:r>
      <w:r w:rsidR="00B366C8" w:rsidRPr="00D76696">
        <w:rPr>
          <w:sz w:val="24"/>
          <w:szCs w:val="24"/>
        </w:rPr>
        <w:t xml:space="preserve">experiencias. Adicionalmente a este tema en dicha región se propone que teniendo en cuenta las </w:t>
      </w:r>
      <w:r w:rsidR="00B366C8" w:rsidRPr="00D76696">
        <w:rPr>
          <w:sz w:val="24"/>
          <w:szCs w:val="24"/>
        </w:rPr>
        <w:lastRenderedPageBreak/>
        <w:t>fortalezas y experticias de cada IES, sea posible construir temas y líneas de investigación que aseguren la subsistencia de la comunidad.</w:t>
      </w:r>
    </w:p>
    <w:p w:rsidR="00B366C8" w:rsidRPr="00D76696" w:rsidRDefault="00B366C8" w:rsidP="00172983">
      <w:pPr>
        <w:ind w:left="284"/>
        <w:jc w:val="both"/>
        <w:rPr>
          <w:sz w:val="24"/>
          <w:szCs w:val="24"/>
        </w:rPr>
      </w:pPr>
      <w:r w:rsidRPr="00D76696">
        <w:rPr>
          <w:sz w:val="24"/>
          <w:szCs w:val="24"/>
        </w:rPr>
        <w:t xml:space="preserve">El segundo punto en el que coinciden las IES participantes de este tema, es la </w:t>
      </w:r>
      <w:r w:rsidRPr="00D76696">
        <w:rPr>
          <w:b/>
          <w:sz w:val="24"/>
          <w:szCs w:val="24"/>
        </w:rPr>
        <w:t xml:space="preserve">necesidad de establecer alianzas </w:t>
      </w:r>
      <w:proofErr w:type="spellStart"/>
      <w:r w:rsidRPr="00D76696">
        <w:rPr>
          <w:b/>
          <w:sz w:val="24"/>
          <w:szCs w:val="24"/>
        </w:rPr>
        <w:t>intra</w:t>
      </w:r>
      <w:proofErr w:type="spellEnd"/>
      <w:r w:rsidRPr="00D76696">
        <w:rPr>
          <w:b/>
          <w:sz w:val="24"/>
          <w:szCs w:val="24"/>
        </w:rPr>
        <w:t xml:space="preserve"> e interinstitucionales para asegurar la subsistencia de la comunidad.</w:t>
      </w:r>
      <w:r w:rsidRPr="00D76696">
        <w:rPr>
          <w:sz w:val="24"/>
          <w:szCs w:val="24"/>
        </w:rPr>
        <w:t xml:space="preserve"> Esas alianzas deben ser duraderas y deben buscar diferentes formas de reunirse, por ejemplo en la Costa Caribe se propone utilizar las bases de datos y la infraestructura de RENATA como una forma de aprovechar el conocimiento y el poder de convocatoria para asegurar la subsistencia de la comunidad </w:t>
      </w:r>
      <w:proofErr w:type="spellStart"/>
      <w:r w:rsidRPr="00D76696">
        <w:rPr>
          <w:sz w:val="24"/>
          <w:szCs w:val="24"/>
        </w:rPr>
        <w:t>PlanEsTIC</w:t>
      </w:r>
      <w:proofErr w:type="spellEnd"/>
      <w:r w:rsidRPr="00D76696">
        <w:rPr>
          <w:sz w:val="24"/>
          <w:szCs w:val="24"/>
        </w:rPr>
        <w:t>.</w:t>
      </w:r>
    </w:p>
    <w:p w:rsidR="000E3B86" w:rsidRPr="00D76696" w:rsidRDefault="000E3B86" w:rsidP="00172983">
      <w:pPr>
        <w:ind w:left="284"/>
        <w:jc w:val="both"/>
        <w:rPr>
          <w:sz w:val="24"/>
          <w:szCs w:val="24"/>
        </w:rPr>
      </w:pPr>
      <w:r w:rsidRPr="00D76696">
        <w:rPr>
          <w:sz w:val="24"/>
          <w:szCs w:val="24"/>
        </w:rPr>
        <w:t>Finalmente, frente a los aspectos generales, es importante anotar que las IES coinciden en no definir un sitio único de encuentro presencial de encuentro, no siquiera debe ser sincrónico, tal vez por esta razón surgen propuestas como el uso de RENATA o de tecnologías que permitan establecer una comunicación contante que no necesariamente debe ser sincrónica.</w:t>
      </w:r>
    </w:p>
    <w:p w:rsidR="000E3B86" w:rsidRPr="00D76696" w:rsidRDefault="0046675E" w:rsidP="00172983">
      <w:pPr>
        <w:ind w:left="284"/>
        <w:jc w:val="both"/>
        <w:rPr>
          <w:sz w:val="24"/>
          <w:szCs w:val="24"/>
        </w:rPr>
      </w:pPr>
      <w:r w:rsidRPr="00D76696">
        <w:rPr>
          <w:sz w:val="24"/>
          <w:szCs w:val="24"/>
        </w:rPr>
        <w:t>Por último es importante destacar una propuesta hecha por algunas IES del Eje Cafetero, dado que puede dar bases importantes para establecer una red a nivel regional y nacional. Para estas instituciones es fundamental crear redes y comunidades de práctica primero a nivel institucional para que sirvan de alimento y base para las redes regionales y nacionales. Para lograrlo, se propone definir objetivos de cada red institucional, establecer reuniones específicas de discusión y lograr un aval dentro de las IES para asegurar su existencia</w:t>
      </w:r>
      <w:r w:rsidR="002B17E3" w:rsidRPr="00D76696">
        <w:rPr>
          <w:sz w:val="24"/>
          <w:szCs w:val="24"/>
        </w:rPr>
        <w:t>.</w:t>
      </w:r>
    </w:p>
    <w:p w:rsidR="000E3B86" w:rsidRPr="00D76696" w:rsidRDefault="000E3B86" w:rsidP="00172983">
      <w:pPr>
        <w:ind w:left="284"/>
        <w:jc w:val="both"/>
        <w:rPr>
          <w:sz w:val="24"/>
          <w:szCs w:val="24"/>
        </w:rPr>
      </w:pPr>
    </w:p>
    <w:p w:rsidR="00652B79" w:rsidRPr="00D76696" w:rsidRDefault="00F34C84" w:rsidP="00172983">
      <w:pPr>
        <w:ind w:left="284"/>
        <w:jc w:val="both"/>
        <w:rPr>
          <w:sz w:val="24"/>
          <w:szCs w:val="24"/>
        </w:rPr>
      </w:pPr>
      <w:r w:rsidRPr="00D76696">
        <w:rPr>
          <w:sz w:val="24"/>
          <w:szCs w:val="24"/>
        </w:rPr>
        <w:t xml:space="preserve"> </w:t>
      </w:r>
      <w:r w:rsidR="00652B79" w:rsidRPr="00D76696">
        <w:rPr>
          <w:sz w:val="24"/>
          <w:szCs w:val="24"/>
        </w:rPr>
        <w:t xml:space="preserve"> </w:t>
      </w:r>
    </w:p>
    <w:sectPr w:rsidR="00652B79" w:rsidRPr="00D76696" w:rsidSect="005832B2">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4B4C55"/>
    <w:multiLevelType w:val="hybridMultilevel"/>
    <w:tmpl w:val="2D0A1C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52B79"/>
    <w:rsid w:val="000E3B86"/>
    <w:rsid w:val="00172983"/>
    <w:rsid w:val="002446E3"/>
    <w:rsid w:val="002B17E3"/>
    <w:rsid w:val="003A76AC"/>
    <w:rsid w:val="0046675E"/>
    <w:rsid w:val="00500DD6"/>
    <w:rsid w:val="005832B2"/>
    <w:rsid w:val="00652B79"/>
    <w:rsid w:val="0072489A"/>
    <w:rsid w:val="007A54D1"/>
    <w:rsid w:val="009630AE"/>
    <w:rsid w:val="00A35AF3"/>
    <w:rsid w:val="00AD6FE0"/>
    <w:rsid w:val="00B26F23"/>
    <w:rsid w:val="00B366C8"/>
    <w:rsid w:val="00B70FCA"/>
    <w:rsid w:val="00C209D8"/>
    <w:rsid w:val="00D76696"/>
    <w:rsid w:val="00F34C84"/>
    <w:rsid w:val="00FF594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2B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7298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539</Words>
  <Characters>2968</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 Rey Arévalo</dc:creator>
  <cp:lastModifiedBy>A52817074</cp:lastModifiedBy>
  <cp:revision>5</cp:revision>
  <dcterms:created xsi:type="dcterms:W3CDTF">2012-06-25T22:32:00Z</dcterms:created>
  <dcterms:modified xsi:type="dcterms:W3CDTF">2012-06-25T22:38:00Z</dcterms:modified>
</cp:coreProperties>
</file>